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262-2803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ПРОЭСТЕТ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Азирашвили Александра Рамазовича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Азирашвили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ПРОЭСТЕТ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Комсомольская д.65 пом.2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своих должностных обязанностей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24:00 26.01.2026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Азирашвили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</w:t>
      </w:r>
      <w:r>
        <w:rPr>
          <w:rFonts w:ascii="Times New Roman" w:eastAsia="Times New Roman" w:hAnsi="Times New Roman" w:cs="Times New Roman"/>
          <w:sz w:val="26"/>
          <w:szCs w:val="26"/>
        </w:rPr>
        <w:t>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образом, об отложении судебного заседания не ходатайствовал.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Азирашвили А.Р.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законодательства Азирашвили А.Р.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 подраздел 1.2 за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в установленный законодательством срок не позднее 26.01.2026 не предоставил, предоставив их с нарушением срока 27.01.2026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0000</w:t>
      </w:r>
      <w:r>
        <w:rPr>
          <w:rFonts w:ascii="Times New Roman" w:eastAsia="Times New Roman" w:hAnsi="Times New Roman" w:cs="Times New Roman"/>
          <w:sz w:val="26"/>
          <w:szCs w:val="26"/>
        </w:rPr>
        <w:t>834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 копие</w:t>
      </w:r>
      <w:r>
        <w:rPr>
          <w:rFonts w:ascii="Times New Roman" w:eastAsia="Times New Roman" w:hAnsi="Times New Roman" w:cs="Times New Roman"/>
          <w:sz w:val="26"/>
          <w:szCs w:val="26"/>
        </w:rPr>
        <w:t>й формы ЕФС-1 разд.1 подразд.1.2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ПРОЭСТЕТ», в соответствии с которой Азирашвили А.Р, является генеральным директором с 16.12.2025.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примечанию к ст.2.4 КоАП РФ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Азирашвили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Азирашвили Александра Рамазовича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rFonts w:ascii="Times New Roman" w:eastAsia="Times New Roman" w:hAnsi="Times New Roman" w:cs="Times New Roman"/>
          <w:sz w:val="26"/>
          <w:szCs w:val="26"/>
        </w:rPr>
        <w:t>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>0000007 УИН 79702700000000378045.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